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8BA14" w14:textId="0372A4EA" w:rsidR="007150EC" w:rsidRPr="000261DD" w:rsidRDefault="000261DD" w:rsidP="00455A99">
      <w:pPr>
        <w:jc w:val="center"/>
        <w:rPr>
          <w:b/>
          <w:bCs/>
          <w:sz w:val="32"/>
          <w:szCs w:val="32"/>
        </w:rPr>
      </w:pPr>
      <w:r w:rsidRPr="000261DD">
        <w:rPr>
          <w:b/>
          <w:bCs/>
          <w:sz w:val="32"/>
          <w:szCs w:val="32"/>
        </w:rPr>
        <w:t>PRESSEMITTTEILUNG</w:t>
      </w:r>
    </w:p>
    <w:p w14:paraId="45B4CA8C" w14:textId="1C6DF7F8" w:rsidR="00455A99" w:rsidRPr="000261DD" w:rsidRDefault="0023574F" w:rsidP="00455A99">
      <w:pPr>
        <w:jc w:val="center"/>
      </w:pPr>
      <w:r w:rsidRPr="000261DD">
        <w:t xml:space="preserve">HVOF </w:t>
      </w:r>
      <w:r w:rsidR="000261DD" w:rsidRPr="000261DD">
        <w:t>PR</w:t>
      </w:r>
      <w:r w:rsidR="00455A99" w:rsidRPr="000261DD">
        <w:t>02/2026</w:t>
      </w:r>
      <w:r w:rsidR="000261DD" w:rsidRPr="000261DD">
        <w:t xml:space="preserve"> DE (02.03.2026)</w:t>
      </w:r>
    </w:p>
    <w:p w14:paraId="4A01A1C6" w14:textId="77777777" w:rsidR="00455A99" w:rsidRDefault="00455A99" w:rsidP="007150EC">
      <w:pPr>
        <w:rPr>
          <w:color w:val="FFFF00"/>
        </w:rPr>
      </w:pPr>
    </w:p>
    <w:p w14:paraId="1A824ACF" w14:textId="77777777" w:rsidR="0023574F" w:rsidRDefault="0023574F" w:rsidP="007150EC"/>
    <w:p w14:paraId="6A0A0870" w14:textId="77777777" w:rsidR="00455A99" w:rsidRPr="00CD2E75" w:rsidRDefault="00455A99" w:rsidP="00455A99">
      <w:pPr>
        <w:jc w:val="center"/>
        <w:rPr>
          <w:sz w:val="22"/>
          <w:szCs w:val="24"/>
        </w:rPr>
      </w:pPr>
      <w:r w:rsidRPr="00CD2E75">
        <w:rPr>
          <w:sz w:val="22"/>
          <w:szCs w:val="24"/>
        </w:rPr>
        <w:t>13. Kolloquium Hochgeschwindigkeits-Flammspritzen</w:t>
      </w:r>
    </w:p>
    <w:p w14:paraId="1DF290BF" w14:textId="77777777" w:rsidR="00455A99" w:rsidRPr="00CD2E75" w:rsidRDefault="00455A99" w:rsidP="00455A99">
      <w:pPr>
        <w:jc w:val="center"/>
        <w:rPr>
          <w:sz w:val="28"/>
          <w:szCs w:val="32"/>
        </w:rPr>
      </w:pPr>
      <w:r w:rsidRPr="00CD2E75">
        <w:rPr>
          <w:sz w:val="28"/>
          <w:szCs w:val="32"/>
        </w:rPr>
        <w:t>Innovationen, Nachhaltigkeit, Digitalisierung, Datenanalyse</w:t>
      </w:r>
    </w:p>
    <w:p w14:paraId="7DA7C3FA" w14:textId="77777777" w:rsidR="00455A99" w:rsidRDefault="00455A99" w:rsidP="00455A99"/>
    <w:p w14:paraId="6AFE016F" w14:textId="77777777" w:rsidR="0023574F" w:rsidRDefault="0023574F" w:rsidP="00455A99"/>
    <w:p w14:paraId="281650CC" w14:textId="3FC7B1D5" w:rsidR="00455A99" w:rsidRPr="00705202" w:rsidRDefault="00455A99" w:rsidP="00455A99">
      <w:pPr>
        <w:rPr>
          <w:strike/>
        </w:rPr>
      </w:pPr>
      <w:r w:rsidRPr="00705202">
        <w:t xml:space="preserve">Zum 13. Mal findet im Oktober 2026 das Kolloquium Hochgeschwindigkeits-Flammspritzen statt und bringt erneut führende Experten aus Forschung, Industrie und Anwendung zusammen. </w:t>
      </w:r>
      <w:r w:rsidR="00EC7FBC" w:rsidRPr="00705202">
        <w:t>Die Veranstaltung greift nicht nur Themen rund um das Hochgeschwindigkeitsspritzen auf, sondern beleuchtet darüber hinaus aktuelle Trends, technologische Entwicklungen und neue Ansätze in sämtlichen Bereichen des Thermischen Spritzens. Damit bietet das Kolloquium einen umfassenden Überblick über den Stand der Technik und die zukünftige Ausrichtung der Branche.</w:t>
      </w:r>
    </w:p>
    <w:p w14:paraId="7B266910" w14:textId="77777777" w:rsidR="00455A99" w:rsidRPr="00705202" w:rsidRDefault="00455A99" w:rsidP="00455A99"/>
    <w:p w14:paraId="0B998B8B" w14:textId="7212EAC1" w:rsidR="00455A99" w:rsidRPr="00705202" w:rsidRDefault="00455A99" w:rsidP="00455A99">
      <w:r w:rsidRPr="00705202">
        <w:t>Ein besonderes Augenmerk liegt in diesem Jahr auf den Pulverherstellern, die sich intensiv mit de</w:t>
      </w:r>
      <w:r w:rsidR="0023574F" w:rsidRPr="00705202">
        <w:t>n</w:t>
      </w:r>
      <w:r w:rsidRPr="00705202">
        <w:t xml:space="preserve"> Them</w:t>
      </w:r>
      <w:r w:rsidR="0023574F" w:rsidRPr="00705202">
        <w:t>en</w:t>
      </w:r>
      <w:r w:rsidRPr="00705202">
        <w:t xml:space="preserve"> Nachhaltigkeit und alternative Werkstoffe befassen – </w:t>
      </w:r>
      <w:r w:rsidR="00D50C5A" w:rsidRPr="00705202">
        <w:t xml:space="preserve">Themen </w:t>
      </w:r>
      <w:r w:rsidRPr="00705202">
        <w:t>von derzeit höchster Aktualität. Darüber hinaus wird der fortschreitende Einzug der Digitalisierung beleuchtet, der sowohl in der Medienversorgung als auch in der Anlagentechnik neue Möglichkeiten eröffnet und bestehende Prozesse transformiert.</w:t>
      </w:r>
    </w:p>
    <w:p w14:paraId="1C8B095F" w14:textId="77777777" w:rsidR="00455A99" w:rsidRPr="00705202" w:rsidRDefault="00455A99" w:rsidP="00455A99"/>
    <w:p w14:paraId="1CF34BFE" w14:textId="00A628BF" w:rsidR="00455A99" w:rsidRPr="00705202" w:rsidRDefault="00455A99" w:rsidP="00455A99">
      <w:r w:rsidRPr="00705202">
        <w:t xml:space="preserve">Auch die Anlagenhersteller präsentieren innovative Neuheiten sowie Systeme, die aktuell auf dem Markt verfügbar sind. Ergänzt wird das Programm durch Erfahrungsberichte aus der Praxis. </w:t>
      </w:r>
      <w:r w:rsidR="00EC7FBC" w:rsidRPr="00705202">
        <w:t xml:space="preserve">Hier geben </w:t>
      </w:r>
      <w:r w:rsidRPr="00705202">
        <w:t xml:space="preserve">Unternehmen spannende Einblicke in ihre Herausforderungen und Lösungsansätze, was zu einem lebhaften und wertvollen Erfahrungsaustausch beiträgt. </w:t>
      </w:r>
      <w:r w:rsidR="00EC7FBC" w:rsidRPr="00705202">
        <w:t xml:space="preserve">Wie in den vergangenen Jahren wird die Veranstaltung durch eine umfangreiche Leistungsschau ergänzt, auf der Unternehmen ihre neuesten Technologien, Anlagen und Entwicklungen präsentieren. </w:t>
      </w:r>
    </w:p>
    <w:p w14:paraId="3CB717E1" w14:textId="77777777" w:rsidR="00455A99" w:rsidRPr="00705202" w:rsidRDefault="00455A99" w:rsidP="00455A99"/>
    <w:p w14:paraId="02103FF4" w14:textId="0175CB48" w:rsidR="003336AE" w:rsidRPr="00705202" w:rsidRDefault="00455A99" w:rsidP="00455A99">
      <w:r w:rsidRPr="00705202">
        <w:t xml:space="preserve">Das HVOF-Kolloquium zeigt einmal mehr, wie dynamisch sich die Branche entwickelt und welche entscheidende Rolle Forschung, Nachhaltigkeit und technologische Innovationen </w:t>
      </w:r>
      <w:r w:rsidR="003336AE" w:rsidRPr="00705202">
        <w:t xml:space="preserve">für die zukünftige Ausrichtung des Thermischen Spritzens spielen. Die Veranstaltung bietet Fachleuten aus Industrie und Wissenschaft eine wertvolle Plattform, um sich über neueste Entwicklungen auszutauschen, Trends zu diskutieren und praxisnahe Impulse für kommende Projekte mitzunehmen. </w:t>
      </w:r>
    </w:p>
    <w:p w14:paraId="6A1CDE07" w14:textId="77777777" w:rsidR="003336AE" w:rsidRPr="00705202" w:rsidRDefault="003336AE" w:rsidP="00455A99"/>
    <w:p w14:paraId="571BECF3" w14:textId="4FAFBC42" w:rsidR="00455A99" w:rsidRDefault="003336AE" w:rsidP="00455A99">
      <w:r w:rsidRPr="00705202">
        <w:t>Sichern Sie sich jetzt Ihre Teilnahme und melden Sie sich bequem über die Online-Registrierung auf  hvof.gts-ev.de an, um diese Netzwerk zu nutzen und zu erweitern</w:t>
      </w:r>
      <w:r w:rsidR="00455A99" w:rsidRPr="00705202">
        <w:t>.</w:t>
      </w:r>
    </w:p>
    <w:p w14:paraId="36769D23" w14:textId="77777777" w:rsidR="00455A99" w:rsidRDefault="00455A99" w:rsidP="007150EC"/>
    <w:p w14:paraId="6A177154" w14:textId="77777777" w:rsidR="00455A99" w:rsidRDefault="00455A99" w:rsidP="007150EC"/>
    <w:p w14:paraId="33CCA758" w14:textId="4F67B952" w:rsidR="00455A99" w:rsidRDefault="00455A99" w:rsidP="00455A99">
      <w:r>
        <w:t>29.–30. Oktober 2026</w:t>
      </w:r>
    </w:p>
    <w:p w14:paraId="41CB80F1" w14:textId="77777777" w:rsidR="00705202" w:rsidRDefault="00705202" w:rsidP="00705202">
      <w:r>
        <w:t>Stadthalle Erding</w:t>
      </w:r>
    </w:p>
    <w:p w14:paraId="521851A2" w14:textId="77777777" w:rsidR="00705202" w:rsidRDefault="00705202" w:rsidP="00705202">
      <w:r>
        <w:t>Alois-Schießl-Platz 1, 85435 Erding</w:t>
      </w:r>
    </w:p>
    <w:p w14:paraId="27F46DE2" w14:textId="24DD1FC3" w:rsidR="00455A99" w:rsidRDefault="00455A99" w:rsidP="00705202">
      <w:r>
        <w:t>hvof.gts-ev.de</w:t>
      </w:r>
    </w:p>
    <w:p w14:paraId="21CE668B" w14:textId="77777777" w:rsidR="00455A99" w:rsidRDefault="00455A99" w:rsidP="00455A99"/>
    <w:p w14:paraId="034B0124" w14:textId="77777777" w:rsidR="0023574F" w:rsidRPr="0022367D" w:rsidRDefault="0023574F" w:rsidP="0023574F">
      <w:pPr>
        <w:pBdr>
          <w:top w:val="single" w:sz="4" w:space="1" w:color="auto"/>
          <w:bottom w:val="single" w:sz="4" w:space="1" w:color="auto"/>
        </w:pBdr>
        <w:spacing w:before="120" w:after="120"/>
        <w:rPr>
          <w:i/>
        </w:rPr>
      </w:pPr>
      <w:r w:rsidRPr="0022367D">
        <w:rPr>
          <w:i/>
        </w:rPr>
        <w:t>Bilder siehe nächste Seite.</w:t>
      </w:r>
    </w:p>
    <w:p w14:paraId="6F777ED8" w14:textId="77777777" w:rsidR="0023574F" w:rsidRDefault="0023574F" w:rsidP="0023574F"/>
    <w:p w14:paraId="4D4B49F4" w14:textId="77777777" w:rsidR="00D50C5A" w:rsidRDefault="00D50C5A">
      <w:pPr>
        <w:overflowPunct/>
        <w:autoSpaceDE/>
        <w:autoSpaceDN/>
        <w:adjustRightInd/>
        <w:spacing w:line="240" w:lineRule="auto"/>
        <w:textAlignment w:val="auto"/>
        <w:rPr>
          <w:b/>
          <w:i/>
        </w:rPr>
      </w:pPr>
      <w:r>
        <w:rPr>
          <w:b/>
          <w:i/>
        </w:rPr>
        <w:br w:type="page"/>
      </w:r>
    </w:p>
    <w:p w14:paraId="564A0A39" w14:textId="5AC4DC7B" w:rsidR="0023574F" w:rsidRPr="0022367D" w:rsidRDefault="0023574F" w:rsidP="0023574F">
      <w:pPr>
        <w:rPr>
          <w:b/>
          <w:i/>
        </w:rPr>
      </w:pPr>
      <w:r w:rsidRPr="0022367D">
        <w:rPr>
          <w:b/>
          <w:i/>
        </w:rPr>
        <w:lastRenderedPageBreak/>
        <w:t>Kontakt / Belege erbeten an:</w:t>
      </w:r>
    </w:p>
    <w:p w14:paraId="717710E2" w14:textId="77777777" w:rsidR="0023574F" w:rsidRPr="0022367D" w:rsidRDefault="0023574F" w:rsidP="0023574F"/>
    <w:p w14:paraId="7FCFA8AE" w14:textId="77777777" w:rsidR="0023574F" w:rsidRDefault="0023574F" w:rsidP="0023574F">
      <w:r w:rsidRPr="0022367D">
        <w:t>Gemeinschaft Thermisches Spritzen e.V. (GTS)</w:t>
      </w:r>
    </w:p>
    <w:p w14:paraId="5C8721B5" w14:textId="77777777" w:rsidR="0023574F" w:rsidRPr="0022367D" w:rsidRDefault="0023574F" w:rsidP="0023574F">
      <w:r>
        <w:t>Herrn Werner Krömmer</w:t>
      </w:r>
    </w:p>
    <w:p w14:paraId="4724F864" w14:textId="52B30A73" w:rsidR="0023574F" w:rsidRPr="0022367D" w:rsidRDefault="0023574F" w:rsidP="0023574F">
      <w:r w:rsidRPr="0022367D">
        <w:t>c/o</w:t>
      </w:r>
      <w:r>
        <w:t xml:space="preserve"> Linde </w:t>
      </w:r>
      <w:r>
        <w:t>GmbH</w:t>
      </w:r>
    </w:p>
    <w:p w14:paraId="7059F3C9" w14:textId="39A4C1A8" w:rsidR="0023574F" w:rsidRPr="0022367D" w:rsidRDefault="0023574F" w:rsidP="0023574F">
      <w:r w:rsidRPr="0022367D">
        <w:t>Carl-von-Linde-Str. 25</w:t>
      </w:r>
    </w:p>
    <w:p w14:paraId="45EA4F98" w14:textId="77777777" w:rsidR="0023574F" w:rsidRPr="0022367D" w:rsidRDefault="0023574F" w:rsidP="0023574F">
      <w:r w:rsidRPr="0022367D">
        <w:t>85716 Unterschleissheim</w:t>
      </w:r>
    </w:p>
    <w:p w14:paraId="48FC5183" w14:textId="77777777" w:rsidR="0023574F" w:rsidRDefault="0023574F" w:rsidP="0023574F">
      <w:r w:rsidRPr="0022367D">
        <w:t>GERMANY</w:t>
      </w:r>
    </w:p>
    <w:p w14:paraId="12CFD985" w14:textId="77777777" w:rsidR="0023574F" w:rsidRPr="0022367D" w:rsidRDefault="0023574F" w:rsidP="0023574F"/>
    <w:p w14:paraId="4AD88F5E" w14:textId="77777777" w:rsidR="0023574F" w:rsidRDefault="0023574F" w:rsidP="0023574F">
      <w:r w:rsidRPr="0022367D">
        <w:t>E-Mail: hvof@gts-ev.de</w:t>
      </w:r>
      <w:r>
        <w:t>, werner.kroemmer@gts-ev.de</w:t>
      </w:r>
    </w:p>
    <w:p w14:paraId="7100F0FF" w14:textId="77777777" w:rsidR="0023574F" w:rsidRDefault="0023574F" w:rsidP="0023574F">
      <w:r>
        <w:t>Web: hvof.gts-ev.de, www.gts-ev.de</w:t>
      </w:r>
    </w:p>
    <w:p w14:paraId="76A9846B" w14:textId="77777777" w:rsidR="00455A99" w:rsidRDefault="00455A99" w:rsidP="00455A99"/>
    <w:p w14:paraId="5568B229" w14:textId="77777777" w:rsidR="0023574F" w:rsidRDefault="0023574F" w:rsidP="00455A99"/>
    <w:p w14:paraId="11DA8F84" w14:textId="2012FD42" w:rsidR="00455A99" w:rsidRDefault="00455A99" w:rsidP="00455A99">
      <w:r>
        <w:rPr>
          <w:noProof/>
        </w:rPr>
        <w:drawing>
          <wp:inline distT="0" distB="0" distL="0" distR="0" wp14:anchorId="1D6C83D6" wp14:editId="56BB4B2C">
            <wp:extent cx="2195384" cy="781050"/>
            <wp:effectExtent l="0" t="0" r="0" b="0"/>
            <wp:docPr id="9556279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6816" cy="785117"/>
                    </a:xfrm>
                    <a:prstGeom prst="rect">
                      <a:avLst/>
                    </a:prstGeom>
                    <a:noFill/>
                    <a:ln>
                      <a:noFill/>
                    </a:ln>
                  </pic:spPr>
                </pic:pic>
              </a:graphicData>
            </a:graphic>
          </wp:inline>
        </w:drawing>
      </w:r>
    </w:p>
    <w:p w14:paraId="3CD3338F" w14:textId="77777777" w:rsidR="0054534B" w:rsidRDefault="0054534B" w:rsidP="00455A99"/>
    <w:p w14:paraId="452D94E3" w14:textId="77777777" w:rsidR="0054534B" w:rsidRDefault="0054534B" w:rsidP="00455A99"/>
    <w:p w14:paraId="538D9718" w14:textId="612E96DB" w:rsidR="0054534B" w:rsidRDefault="0054534B" w:rsidP="00705202">
      <w:pPr>
        <w:keepNext/>
      </w:pPr>
      <w:r>
        <w:rPr>
          <w:noProof/>
        </w:rPr>
        <w:drawing>
          <wp:inline distT="0" distB="0" distL="0" distR="0" wp14:anchorId="1B74595E" wp14:editId="0E31B71B">
            <wp:extent cx="5086350" cy="2865200"/>
            <wp:effectExtent l="0" t="0" r="0" b="0"/>
            <wp:docPr id="20523147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92911" cy="2868896"/>
                    </a:xfrm>
                    <a:prstGeom prst="rect">
                      <a:avLst/>
                    </a:prstGeom>
                    <a:noFill/>
                    <a:ln>
                      <a:noFill/>
                    </a:ln>
                  </pic:spPr>
                </pic:pic>
              </a:graphicData>
            </a:graphic>
          </wp:inline>
        </w:drawing>
      </w:r>
    </w:p>
    <w:p w14:paraId="62FBCAF6" w14:textId="61DFF08A" w:rsidR="0054534B" w:rsidRDefault="00D50C5A" w:rsidP="00455A99">
      <w:r>
        <w:t xml:space="preserve">Bild 1: </w:t>
      </w:r>
      <w:r w:rsidR="0054534B">
        <w:t>Blick in den Saal der Stadthalle Erding während des 12. HVOF-Kolloquiums 2023</w:t>
      </w:r>
    </w:p>
    <w:p w14:paraId="529D001A" w14:textId="77777777" w:rsidR="0054534B" w:rsidRDefault="0054534B" w:rsidP="00455A99"/>
    <w:p w14:paraId="33A0DB9F" w14:textId="3B085CF4" w:rsidR="0054534B" w:rsidRDefault="0054534B" w:rsidP="00705202">
      <w:pPr>
        <w:keepNext/>
      </w:pPr>
      <w:r>
        <w:rPr>
          <w:noProof/>
        </w:rPr>
        <w:lastRenderedPageBreak/>
        <w:drawing>
          <wp:inline distT="0" distB="0" distL="0" distR="0" wp14:anchorId="0DB02E81" wp14:editId="3D3AA752">
            <wp:extent cx="5086350" cy="3390900"/>
            <wp:effectExtent l="0" t="0" r="0" b="0"/>
            <wp:docPr id="6466790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86350" cy="3390900"/>
                    </a:xfrm>
                    <a:prstGeom prst="rect">
                      <a:avLst/>
                    </a:prstGeom>
                    <a:noFill/>
                    <a:ln>
                      <a:noFill/>
                    </a:ln>
                  </pic:spPr>
                </pic:pic>
              </a:graphicData>
            </a:graphic>
          </wp:inline>
        </w:drawing>
      </w:r>
    </w:p>
    <w:p w14:paraId="79317689" w14:textId="330696E1" w:rsidR="0054534B" w:rsidRPr="007150EC" w:rsidRDefault="00D50C5A" w:rsidP="00455A99">
      <w:r>
        <w:t xml:space="preserve">Bild 2: </w:t>
      </w:r>
      <w:r w:rsidR="0054534B">
        <w:t>Im direkt an den Vortragssaal angrenzenden Ausstellungsbereich bieten sich Möglichkeiten zum Austausch mit Teilnehmern, Referenten und Ausstellern</w:t>
      </w:r>
    </w:p>
    <w:sectPr w:rsidR="0054534B" w:rsidRPr="007150EC" w:rsidSect="007150EC">
      <w:headerReference w:type="even" r:id="rId9"/>
      <w:headerReference w:type="default" r:id="rId10"/>
      <w:footerReference w:type="even" r:id="rId11"/>
      <w:footerReference w:type="default" r:id="rId12"/>
      <w:headerReference w:type="first" r:id="rId13"/>
      <w:footerReference w:type="first" r:id="rId14"/>
      <w:pgSz w:w="11907" w:h="16840" w:code="9"/>
      <w:pgMar w:top="2552" w:right="1247" w:bottom="1134"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6CE73" w14:textId="77777777" w:rsidR="00B94CCB" w:rsidRDefault="00B94CCB">
      <w:r>
        <w:separator/>
      </w:r>
    </w:p>
  </w:endnote>
  <w:endnote w:type="continuationSeparator" w:id="0">
    <w:p w14:paraId="3049EED0" w14:textId="77777777" w:rsidR="00B94CCB" w:rsidRDefault="00B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3F78C" w14:textId="77777777" w:rsidR="00EF7FC7" w:rsidRDefault="00EF7FC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5FC7F84" w14:textId="77777777" w:rsidR="00EF7FC7" w:rsidRDefault="00EF7F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C2F09" w14:textId="77777777" w:rsidR="00EF7FC7" w:rsidRDefault="00322F67">
    <w:pPr>
      <w:pStyle w:val="Fuzeile"/>
    </w:pPr>
    <w:r>
      <w:t xml:space="preserve">– </w:t>
    </w:r>
    <w:r>
      <w:fldChar w:fldCharType="begin"/>
    </w:r>
    <w:r>
      <w:instrText xml:space="preserve"> PAGE </w:instrText>
    </w:r>
    <w:r>
      <w:fldChar w:fldCharType="separate"/>
    </w:r>
    <w:r w:rsidR="007150EC">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F4063" w14:textId="77777777" w:rsidR="00322F67" w:rsidRDefault="00322F67" w:rsidP="00322F67">
    <w:pPr>
      <w:pStyle w:val="Fuzeile"/>
    </w:pPr>
    <w:r>
      <w:t xml:space="preserve">– </w:t>
    </w:r>
    <w:r>
      <w:fldChar w:fldCharType="begin"/>
    </w:r>
    <w:r>
      <w:instrText xml:space="preserve"> PAGE </w:instrText>
    </w:r>
    <w:r>
      <w:fldChar w:fldCharType="separate"/>
    </w:r>
    <w:r w:rsidR="00D7193B">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D45A0" w14:textId="77777777" w:rsidR="00B94CCB" w:rsidRDefault="00B94CCB">
      <w:r>
        <w:separator/>
      </w:r>
    </w:p>
  </w:footnote>
  <w:footnote w:type="continuationSeparator" w:id="0">
    <w:p w14:paraId="644D681B" w14:textId="77777777" w:rsidR="00B94CCB" w:rsidRDefault="00B94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79CC" w14:textId="77777777" w:rsidR="00EF7FC7" w:rsidRDefault="00EF7FC7">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1C643CE" w14:textId="77777777" w:rsidR="00EF7FC7" w:rsidRDefault="00EF7F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82B33" w14:textId="77777777" w:rsidR="00EF7FC7" w:rsidRDefault="00D7193B">
    <w:pPr>
      <w:rPr>
        <w:noProof/>
      </w:rPr>
    </w:pPr>
    <w:r>
      <w:rPr>
        <w:noProof/>
      </w:rPr>
      <w:drawing>
        <wp:anchor distT="0" distB="0" distL="114300" distR="114300" simplePos="0" relativeHeight="251657216" behindDoc="1" locked="0" layoutInCell="0" allowOverlap="1" wp14:anchorId="536C5BB0" wp14:editId="7F064E51">
          <wp:simplePos x="0" y="0"/>
          <wp:positionH relativeFrom="page">
            <wp:posOffset>0</wp:posOffset>
          </wp:positionH>
          <wp:positionV relativeFrom="page">
            <wp:posOffset>0</wp:posOffset>
          </wp:positionV>
          <wp:extent cx="7563485" cy="10690860"/>
          <wp:effectExtent l="0" t="0" r="0" b="0"/>
          <wp:wrapNone/>
          <wp:docPr id="11" name="Bild 11" descr="GTS-Briefbogen 2010 Folges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TS-Briefbogen 2010 Folgesei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69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ED22" w14:textId="77777777" w:rsidR="00EF7FC7" w:rsidRDefault="00D7193B">
    <w:pPr>
      <w:pStyle w:val="Kopfzeile"/>
      <w:rPr>
        <w:rFonts w:cs="Arial"/>
        <w:b w:val="0"/>
        <w:sz w:val="20"/>
      </w:rPr>
    </w:pPr>
    <w:r>
      <w:rPr>
        <w:rFonts w:cs="Arial"/>
        <w:b w:val="0"/>
        <w:sz w:val="20"/>
      </w:rPr>
      <w:drawing>
        <wp:anchor distT="0" distB="0" distL="114300" distR="114300" simplePos="0" relativeHeight="251658240" behindDoc="1" locked="0" layoutInCell="1" allowOverlap="1" wp14:anchorId="2FF78265" wp14:editId="45523807">
          <wp:simplePos x="0" y="0"/>
          <wp:positionH relativeFrom="page">
            <wp:posOffset>0</wp:posOffset>
          </wp:positionH>
          <wp:positionV relativeFrom="page">
            <wp:posOffset>0</wp:posOffset>
          </wp:positionV>
          <wp:extent cx="7563485" cy="10690860"/>
          <wp:effectExtent l="0" t="0" r="0" b="0"/>
          <wp:wrapNone/>
          <wp:docPr id="12" name="Bild 12" descr="GTS-Briefbogen 2010 Folges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TS-Briefbogen 2010 Folgesei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690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15FDEE" w14:textId="77777777" w:rsidR="00403866" w:rsidRDefault="00403866">
    <w:pPr>
      <w:pStyle w:val="Kopfzeile"/>
      <w:rPr>
        <w:rFonts w:cs="Arial"/>
        <w:b w:val="0"/>
        <w:sz w:val="20"/>
      </w:rPr>
    </w:pPr>
  </w:p>
  <w:p w14:paraId="78BB5F5C" w14:textId="77777777" w:rsidR="00403866" w:rsidRPr="00E054F8" w:rsidRDefault="00403866">
    <w:pPr>
      <w:pStyle w:val="Kopfzeile"/>
      <w:rPr>
        <w:rFonts w:cs="Arial"/>
        <w:b w:val="0"/>
        <w:sz w:val="20"/>
      </w:rPr>
    </w:pPr>
  </w:p>
  <w:p w14:paraId="47464CB3" w14:textId="77777777" w:rsidR="00EF7FC7" w:rsidRDefault="00EF7FC7">
    <w:pPr>
      <w:pStyle w:val="Kopfzeile"/>
      <w:rPr>
        <w:rFonts w:cs="Arial"/>
        <w:b w:val="0"/>
        <w:i/>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79"/>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F67"/>
    <w:rsid w:val="000240C2"/>
    <w:rsid w:val="0002539D"/>
    <w:rsid w:val="000255F5"/>
    <w:rsid w:val="000261DD"/>
    <w:rsid w:val="00091BA8"/>
    <w:rsid w:val="000C6DBE"/>
    <w:rsid w:val="000E54BC"/>
    <w:rsid w:val="001F37B1"/>
    <w:rsid w:val="001F537B"/>
    <w:rsid w:val="0023574F"/>
    <w:rsid w:val="0026136D"/>
    <w:rsid w:val="00322F67"/>
    <w:rsid w:val="00324827"/>
    <w:rsid w:val="003336AE"/>
    <w:rsid w:val="00341111"/>
    <w:rsid w:val="00386E8C"/>
    <w:rsid w:val="003A62EA"/>
    <w:rsid w:val="003C65D7"/>
    <w:rsid w:val="003C7471"/>
    <w:rsid w:val="004032FA"/>
    <w:rsid w:val="00403866"/>
    <w:rsid w:val="00455A99"/>
    <w:rsid w:val="004F7D06"/>
    <w:rsid w:val="005226F7"/>
    <w:rsid w:val="0054534B"/>
    <w:rsid w:val="00562E79"/>
    <w:rsid w:val="00571BEB"/>
    <w:rsid w:val="005C1653"/>
    <w:rsid w:val="00600D45"/>
    <w:rsid w:val="006A5B3D"/>
    <w:rsid w:val="006B60BF"/>
    <w:rsid w:val="006D45D1"/>
    <w:rsid w:val="006F5221"/>
    <w:rsid w:val="00701AC5"/>
    <w:rsid w:val="00704254"/>
    <w:rsid w:val="00705202"/>
    <w:rsid w:val="007124D5"/>
    <w:rsid w:val="007150EC"/>
    <w:rsid w:val="00742A71"/>
    <w:rsid w:val="00744AB2"/>
    <w:rsid w:val="007A083C"/>
    <w:rsid w:val="007D3428"/>
    <w:rsid w:val="00801D29"/>
    <w:rsid w:val="008058D4"/>
    <w:rsid w:val="00872A7D"/>
    <w:rsid w:val="008D0F16"/>
    <w:rsid w:val="00901476"/>
    <w:rsid w:val="00910537"/>
    <w:rsid w:val="00934406"/>
    <w:rsid w:val="00940C2A"/>
    <w:rsid w:val="00941545"/>
    <w:rsid w:val="00953DFE"/>
    <w:rsid w:val="009B50DA"/>
    <w:rsid w:val="009C5249"/>
    <w:rsid w:val="00A044A2"/>
    <w:rsid w:val="00A14743"/>
    <w:rsid w:val="00A61B98"/>
    <w:rsid w:val="00A76E12"/>
    <w:rsid w:val="00A86230"/>
    <w:rsid w:val="00A973D4"/>
    <w:rsid w:val="00B23203"/>
    <w:rsid w:val="00B56AB0"/>
    <w:rsid w:val="00B71A8B"/>
    <w:rsid w:val="00B94CCB"/>
    <w:rsid w:val="00BA07E7"/>
    <w:rsid w:val="00BC49FA"/>
    <w:rsid w:val="00C17C45"/>
    <w:rsid w:val="00D06298"/>
    <w:rsid w:val="00D50C5A"/>
    <w:rsid w:val="00D7193B"/>
    <w:rsid w:val="00DA1BAB"/>
    <w:rsid w:val="00E054F8"/>
    <w:rsid w:val="00E90582"/>
    <w:rsid w:val="00EC7FBC"/>
    <w:rsid w:val="00ED7D7B"/>
    <w:rsid w:val="00EF4ED0"/>
    <w:rsid w:val="00EF7FC7"/>
    <w:rsid w:val="00F42BEF"/>
    <w:rsid w:val="00F6020A"/>
    <w:rsid w:val="00FA50A4"/>
    <w:rsid w:val="00FA6A9E"/>
    <w:rsid w:val="00FE71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9C0B77"/>
  <w15:chartTrackingRefBased/>
  <w15:docId w15:val="{2C1E8FB0-7032-42E6-A9F9-4728FFFD3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150EC"/>
    <w:pPr>
      <w:overflowPunct w:val="0"/>
      <w:autoSpaceDE w:val="0"/>
      <w:autoSpaceDN w:val="0"/>
      <w:adjustRightInd w:val="0"/>
      <w:spacing w:line="276" w:lineRule="auto"/>
      <w:textAlignment w:val="baseline"/>
    </w:pPr>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pPr>
      <w:tabs>
        <w:tab w:val="center" w:pos="4536"/>
        <w:tab w:val="right" w:pos="9072"/>
      </w:tabs>
    </w:pPr>
    <w:rPr>
      <w:rFonts w:ascii="Arial" w:hAnsi="Arial"/>
      <w:b/>
      <w:noProof/>
      <w:sz w:val="24"/>
    </w:rPr>
  </w:style>
  <w:style w:type="character" w:styleId="Seitenzahl">
    <w:name w:val="page number"/>
    <w:rPr>
      <w:rFonts w:ascii="Helvetica" w:hAnsi="Helvetica"/>
      <w:color w:val="auto"/>
      <w:sz w:val="20"/>
      <w:vertAlign w:val="baseline"/>
    </w:rPr>
  </w:style>
  <w:style w:type="paragraph" w:styleId="Fuzeile">
    <w:name w:val="footer"/>
    <w:pPr>
      <w:tabs>
        <w:tab w:val="center" w:pos="4536"/>
        <w:tab w:val="right" w:pos="9072"/>
      </w:tabs>
      <w:jc w:val="center"/>
    </w:pPr>
    <w:rPr>
      <w:rFonts w:ascii="Arial" w:hAnsi="Arial"/>
      <w:noProof/>
    </w:rPr>
  </w:style>
  <w:style w:type="paragraph" w:customStyle="1" w:styleId="TabStandard">
    <w:name w:val="TabStandard"/>
    <w:basedOn w:val="Standard"/>
  </w:style>
  <w:style w:type="table" w:styleId="Tabellenraster">
    <w:name w:val="Table Grid"/>
    <w:basedOn w:val="NormaleTabelle"/>
    <w:rsid w:val="007A083C"/>
    <w:pPr>
      <w:overflowPunct w:val="0"/>
      <w:autoSpaceDE w:val="0"/>
      <w:autoSpaceDN w:val="0"/>
      <w:adjustRightInd w:val="0"/>
      <w:spacing w:line="300"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397</Words>
  <Characters>2505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Layout für GTS-Briefbogen mit Logo</vt:lpstr>
    </vt:vector>
  </TitlesOfParts>
  <Company>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Layout für GTS-Briefbogen mit Logo</dc:title>
  <dc:subject/>
  <dc:creator>Christian Penszior</dc:creator>
  <cp:keywords/>
  <dc:description/>
  <cp:lastModifiedBy>Christian Penszior</cp:lastModifiedBy>
  <cp:revision>4</cp:revision>
  <cp:lastPrinted>2001-02-22T17:59:00Z</cp:lastPrinted>
  <dcterms:created xsi:type="dcterms:W3CDTF">2026-03-02T16:32:00Z</dcterms:created>
  <dcterms:modified xsi:type="dcterms:W3CDTF">2026-03-02T16:41:00Z</dcterms:modified>
</cp:coreProperties>
</file>